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653B77" w:rsidP="00AC4438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hyperlink r:id="rId9">
        <w:r w:rsidR="00AB5E54">
          <w:rPr>
            <w:rStyle w:val="-"/>
            <w:rFonts w:ascii="Times New Roman" w:hAnsi="Times New Roman" w:cs="Times New Roman"/>
            <w:b/>
            <w:color w:val="000000" w:themeColor="text1"/>
            <w:szCs w:val="24"/>
            <w:u w:val="none"/>
          </w:rPr>
          <w:t>Договор</w:t>
        </w:r>
      </w:hyperlink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№</w:t>
      </w:r>
      <w:r w:rsidR="0068018C">
        <w:rPr>
          <w:rFonts w:ascii="Times New Roman" w:hAnsi="Times New Roman" w:cs="Times New Roman"/>
          <w:b/>
          <w:color w:val="000000" w:themeColor="text1"/>
          <w:szCs w:val="24"/>
        </w:rPr>
        <w:t xml:space="preserve"> 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 _</w:t>
      </w:r>
      <w:r w:rsidR="003053FE" w:rsidRPr="0068018C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AC4438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0D2301">
            <w:pPr>
              <w:pStyle w:val="ConsPlusNonformat"/>
              <w:suppressAutoHyphens/>
              <w:spacing w:before="120" w:after="120" w:line="240" w:lineRule="auto"/>
              <w:ind w:right="17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196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1D2F59" w:rsidRDefault="00AB5E54" w:rsidP="00AC4438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EE48A5">
        <w:rPr>
          <w:color w:val="000000" w:themeColor="text1"/>
        </w:rPr>
        <w:t>консультанта – руководителя ц</w:t>
      </w:r>
      <w:r w:rsidR="00333154">
        <w:rPr>
          <w:color w:val="000000" w:themeColor="text1"/>
        </w:rPr>
        <w:t>ентра защиты информации</w:t>
      </w:r>
      <w:r w:rsidR="009D17FB">
        <w:rPr>
          <w:color w:val="000000" w:themeColor="text1"/>
        </w:rPr>
        <w:t xml:space="preserve"> Шпакова Владимира Владимировича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 xml:space="preserve">доверенности </w:t>
      </w:r>
      <w:r w:rsidR="00F53F8E">
        <w:rPr>
          <w:color w:val="000000" w:themeColor="text1"/>
        </w:rPr>
        <w:t>№ 95 от 08.09.2025 г.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>
        <w:rPr>
          <w:color w:val="000000" w:themeColor="text1"/>
        </w:rPr>
        <w:t>_________________</w:t>
      </w:r>
      <w:r w:rsidR="00B879B4">
        <w:rPr>
          <w:color w:val="000000" w:themeColor="text1"/>
        </w:rPr>
        <w:t>_____________________________</w:t>
      </w:r>
      <w:r w:rsidR="0092013A" w:rsidRPr="0092013A">
        <w:rPr>
          <w:color w:val="000000" w:themeColor="text1"/>
        </w:rPr>
        <w:t>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</w:t>
      </w:r>
      <w:r>
        <w:rPr>
          <w:color w:val="000000" w:themeColor="text1"/>
        </w:rPr>
        <w:t xml:space="preserve">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(далее </w:t>
      </w:r>
      <w:r>
        <w:sym w:font="Symbol" w:char="F02D"/>
      </w:r>
      <w:r>
        <w:t xml:space="preserve"> услуги), а Заказчик обязуется принять и оплатить оказанные услуги.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FF4CD1" w:rsidRPr="009B5003" w:rsidRDefault="00AB5E54" w:rsidP="00FF4C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2.1</w:t>
      </w:r>
      <w:r w:rsidR="00CE4783" w:rsidRPr="00CE478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070DFF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составляет </w:t>
      </w:r>
      <w:r w:rsidR="00D106DC">
        <w:rPr>
          <w:rFonts w:ascii="Times New Roman" w:hAnsi="Times New Roman" w:cs="Times New Roman"/>
        </w:rPr>
        <w:t>22 11</w:t>
      </w:r>
      <w:r w:rsidR="009B5003" w:rsidRPr="009B5003">
        <w:rPr>
          <w:rFonts w:ascii="Times New Roman" w:hAnsi="Times New Roman" w:cs="Times New Roman"/>
        </w:rPr>
        <w:t>4 (двадцать две тысячи</w:t>
      </w:r>
      <w:r w:rsidR="00D106DC">
        <w:rPr>
          <w:rFonts w:ascii="Times New Roman" w:hAnsi="Times New Roman" w:cs="Times New Roman"/>
        </w:rPr>
        <w:t xml:space="preserve"> сто четырнадцать</w:t>
      </w:r>
      <w:r w:rsidR="009B5003" w:rsidRPr="009B5003">
        <w:rPr>
          <w:rFonts w:ascii="Times New Roman" w:hAnsi="Times New Roman" w:cs="Times New Roman"/>
        </w:rPr>
        <w:t>) рублей 00 копеек (в том числе НДС 22%).</w:t>
      </w:r>
    </w:p>
    <w:p w:rsidR="0099331B" w:rsidRPr="0099331B" w:rsidRDefault="00AB5E54" w:rsidP="009933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9933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AC4438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AC4438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5 (пяти) рабочих дней с даты подписания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196DF1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Pr="003C3C5A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:rsidR="0099331B" w:rsidRPr="002D3F27" w:rsidRDefault="0099331B" w:rsidP="0099331B">
      <w:pPr>
        <w:jc w:val="center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1</w:t>
      </w:r>
      <w:r w:rsidRPr="003C3C5A">
        <w:rPr>
          <w:rFonts w:eastAsia="Calibri"/>
          <w:color w:val="000000" w:themeColor="text1"/>
          <w:lang w:eastAsia="en-US"/>
        </w:rPr>
        <w:t>2</w:t>
      </w:r>
      <w:r w:rsidRPr="002D3F27">
        <w:rPr>
          <w:rFonts w:eastAsia="Calibri"/>
          <w:color w:val="000000" w:themeColor="text1"/>
          <w:lang w:eastAsia="en-US"/>
        </w:rPr>
        <w:t>. ОСОБЫЕ УСЛОВИЯ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1</w:t>
      </w:r>
      <w:r w:rsidRPr="003C3C5A">
        <w:t>2</w:t>
      </w:r>
      <w:r w:rsidRPr="0099331B">
        <w:t>.1.</w:t>
      </w:r>
      <w:r w:rsidRPr="0099331B">
        <w:tab/>
        <w:t>В рамках исполнения обязательств по Контракту Стороны договорились: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1</w:t>
      </w:r>
      <w:r w:rsidRPr="00A15F12">
        <w:t>2</w:t>
      </w:r>
      <w:r w:rsidRPr="0099331B">
        <w:t>.1.1.</w:t>
      </w:r>
      <w:r w:rsidRPr="0099331B">
        <w:tab/>
        <w:t>Оформлять первичные учетные документы и иные сопутствующие документы в форме электронных документов, подписанных усиленной квалифицированной электронной подписью (далее – электронные документы), включая, но не ограничиваясь следующими: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- на поставку товара (выполнение работы, оказание услуги), а также отдельных этапов поставки товара (выполнения работы, оказания услуги) (далее - отдельный этап исполнения контракта),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контракта;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- результаты такой приемки;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- на оплату поставленного товара (выполненной работы (ее результатов), оказанной услуги), а также отдельных этапов исполнения контракта;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- заключение дополнительных соглашений;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- направление требования об уплате неустоек (штрафов, пеней).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1</w:t>
      </w:r>
      <w:r w:rsidRPr="003C3C5A">
        <w:t>2</w:t>
      </w:r>
      <w:r w:rsidRPr="0099331B">
        <w:t>.1.2.</w:t>
      </w:r>
      <w:r w:rsidRPr="0099331B">
        <w:tab/>
        <w:t>Осуществлять обмен электронными документами с обязательным применением усиленной квалифицированной электронной подписи, для чего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06.04.2011 № 63-ФЗ «Об электронной подписи» (далее – КЭП).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lastRenderedPageBreak/>
        <w:t>1</w:t>
      </w:r>
      <w:r w:rsidRPr="00A15F12">
        <w:t>2</w:t>
      </w:r>
      <w:r w:rsidRPr="0099331B">
        <w:t>.1.3.</w:t>
      </w:r>
      <w:r w:rsidRPr="0099331B">
        <w:tab/>
        <w:t>Осуществлять обмен электронными документами посредством Модуля исполнения контрактов (далее - МИК) в соответствии с Регламентом МИК, опубликованном по адресу в сети Интернет https://www.rts-tender.ru/mik, Системы электронного документооборота «Fintender EDS» (далее – ЭДО «Fintender EDS»), для чего обеспечить в МИК и в ЭДО «Fintender EDS» регистрацию лиц, уполномоченных за организацию и осуществление электронного документооборота.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1</w:t>
      </w:r>
      <w:r w:rsidRPr="003C3C5A">
        <w:t>2</w:t>
      </w:r>
      <w:r w:rsidRPr="0099331B">
        <w:t>.1.4.</w:t>
      </w:r>
      <w:r w:rsidRPr="0099331B">
        <w:tab/>
        <w:t>При осуществлении обмена электронными документами использовать форматы документов, которые утверждены приказами ФНС России. Если форматы документов не утверждены, то Стороны используют согласованные между собой форматы.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1</w:t>
      </w:r>
      <w:r w:rsidRPr="003C3C5A">
        <w:t>2</w:t>
      </w:r>
      <w:r w:rsidRPr="0099331B">
        <w:t>.2. Подписание электронного документа с помощью КЭП посредством МИК и ЭДО «Fintender EDS» означает, что документы и сведения, поданные в электронной форме: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 xml:space="preserve">- направлены от имени данных лиц, 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- являются подлинными и достоверными,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- признаются равнозначными документам на бумажном носителе, подписанным собственноручной подписью.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1</w:t>
      </w:r>
      <w:r w:rsidRPr="003C3C5A">
        <w:t>2</w:t>
      </w:r>
      <w:r w:rsidRPr="0099331B">
        <w:t>.3. Электронные документы, полученные Сторонами друг от друга при исполнении Контракта, не требуют дублирования документами, оформленными на бумажных носителях информации.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1</w:t>
      </w:r>
      <w:r w:rsidRPr="003C3C5A">
        <w:t>2</w:t>
      </w:r>
      <w:r w:rsidRPr="0099331B">
        <w:t>.4. 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1</w:t>
      </w:r>
      <w:r w:rsidRPr="003C3C5A">
        <w:t>2</w:t>
      </w:r>
      <w:r w:rsidRPr="0099331B">
        <w:t>.5. В случае невозможности обмена электронными документами при исполнении Контракта в связи с технической недоступностью МИК и/или ЭДО «Fintender EDS» Стороны обязаны информировать друг друга о невозможности обмена документами в электронном виде. В этом случае в период технической недоступности внутренних систем МИК и/или ЭДО «Fintender EDS» Стороны производят обмен документами на бумажном носителе с подписанием собственноручной подписью, при этом такая форма оригинала документа должна быть зафиксирована приказом руководителя направляющей Стороны.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>После возобновления работы МИК и/или ЭДО «Fintender EDS» Сторона, ответственная за составление (оформление) документа, направляет с использованием МИК Стороне, в адрес которой должен быть направлен соответствующий документ, сопроводительное письмо, подписанное КЭП уполномоченного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99331B" w:rsidRPr="0099331B" w:rsidRDefault="0099331B" w:rsidP="0099331B">
      <w:pPr>
        <w:tabs>
          <w:tab w:val="left" w:pos="993"/>
        </w:tabs>
        <w:ind w:right="-1" w:firstLine="567"/>
        <w:jc w:val="both"/>
      </w:pPr>
      <w:r w:rsidRPr="0099331B">
        <w:t xml:space="preserve">Сторона, получившая в МИК указанное сопроводительное письмо, осуществляет проверку сведений, содержащихся в сопроводительном письме и приложенной к нему копии в электронной </w:t>
      </w:r>
      <w:r w:rsidR="009B5003">
        <w:t xml:space="preserve">форме (скан-образа) документа, </w:t>
      </w:r>
      <w:r w:rsidRPr="0099331B">
        <w:t>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КЭП уполномоченного лица либо аргументированно отказывается от его подписания.</w:t>
      </w:r>
    </w:p>
    <w:p w:rsidR="0099331B" w:rsidRPr="0099331B" w:rsidRDefault="0099331B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</w:p>
    <w:p w:rsidR="001D2F59" w:rsidRPr="00F565FF" w:rsidRDefault="001D2F59" w:rsidP="00AC4438">
      <w:pPr>
        <w:pStyle w:val="ConsPlusNormal"/>
        <w:widowControl/>
        <w:suppressAutoHyphens/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1D2F59" w:rsidTr="00AC4438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Заказчик:</w:t>
            </w:r>
          </w:p>
          <w:p w:rsidR="001D2F59" w:rsidRDefault="001D2F59" w:rsidP="00AC4438">
            <w:pPr>
              <w:suppressAutoHyphens/>
              <w:spacing w:before="120" w:after="120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B9122B" w:rsidRDefault="00B9122B" w:rsidP="00B9122B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B9122B" w:rsidRDefault="00B9122B" w:rsidP="00B9122B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B9122B" w:rsidRDefault="00B9122B" w:rsidP="00B9122B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B9122B" w:rsidRDefault="00B9122B" w:rsidP="00B9122B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t>214018 г. Смоленск, ул. Тенишевой, д. 22, каб. 405</w:t>
            </w:r>
          </w:p>
          <w:p w:rsidR="00B9122B" w:rsidRDefault="009F555D" w:rsidP="00B9122B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</w:t>
            </w:r>
            <w:r>
              <w:rPr>
                <w:sz w:val="22"/>
                <w:szCs w:val="22"/>
              </w:rPr>
              <w:t xml:space="preserve"> (4812) 22-13-23 доб. 2038/2039</w:t>
            </w:r>
            <w:r w:rsidR="00B9122B">
              <w:rPr>
                <w:sz w:val="22"/>
                <w:szCs w:val="22"/>
              </w:rPr>
              <w:t xml:space="preserve"> </w:t>
            </w:r>
            <w:r w:rsidR="00B9122B">
              <w:rPr>
                <w:b/>
                <w:sz w:val="22"/>
                <w:szCs w:val="22"/>
              </w:rPr>
              <w:t>uc@admin-smolensk.ru</w:t>
            </w:r>
            <w:r w:rsidR="00B9122B">
              <w:rPr>
                <w:b/>
              </w:rPr>
              <w:t xml:space="preserve"> ИНН</w:t>
            </w:r>
            <w:r w:rsidR="00B9122B">
              <w:t xml:space="preserve"> 6730071982 </w:t>
            </w:r>
            <w:r w:rsidR="00B9122B">
              <w:rPr>
                <w:b/>
              </w:rPr>
              <w:t>КПП</w:t>
            </w:r>
            <w:r w:rsidR="00B9122B">
              <w:t xml:space="preserve"> 673001001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B9122B" w:rsidRDefault="00B9122B" w:rsidP="00B9122B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D60556" w:rsidRDefault="00351F08" w:rsidP="00B9122B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351F08">
              <w:rPr>
                <w:b/>
              </w:rPr>
              <w:t xml:space="preserve">ОКЦ № 5 ГУ Банка России по ЦФО//УФК </w:t>
            </w:r>
          </w:p>
          <w:p w:rsidR="00B9122B" w:rsidRDefault="00351F08" w:rsidP="00B9122B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351F08">
              <w:rPr>
                <w:b/>
              </w:rPr>
              <w:t>по Смоленской области г. Смоленск</w:t>
            </w:r>
            <w:r w:rsidR="00B9122B">
              <w:rPr>
                <w:b/>
              </w:rPr>
              <w:t xml:space="preserve"> </w:t>
            </w:r>
          </w:p>
          <w:p w:rsidR="00B9122B" w:rsidRDefault="00B9122B" w:rsidP="00B9122B">
            <w:pPr>
              <w:suppressAutoHyphens/>
              <w:spacing w:after="0" w:line="240" w:lineRule="auto"/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B9122B" w:rsidRDefault="00B9122B" w:rsidP="00B9122B">
            <w:pPr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>Консультант – руководитель центра защиты информации</w:t>
            </w:r>
          </w:p>
          <w:p w:rsidR="00B9122B" w:rsidRDefault="00B9122B" w:rsidP="00B9122B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B9122B" w:rsidRDefault="00B9122B" w:rsidP="00B9122B">
            <w:pPr>
              <w:suppressAutoHyphens/>
              <w:spacing w:after="0"/>
              <w:ind w:left="34" w:right="-108"/>
              <w:jc w:val="both"/>
            </w:pPr>
            <w:r>
              <w:t xml:space="preserve">(По доверенности </w:t>
            </w:r>
            <w:r w:rsidR="00F53F8E">
              <w:t>№ 95 от 08.09.2025 г.</w:t>
            </w:r>
            <w:r>
              <w:t>)</w:t>
            </w:r>
          </w:p>
          <w:p w:rsidR="0099331B" w:rsidRPr="00196DF1" w:rsidRDefault="00B9122B" w:rsidP="00B9122B">
            <w:pPr>
              <w:suppressAutoHyphens/>
              <w:spacing w:before="240" w:after="0"/>
              <w:ind w:left="34" w:right="-108"/>
              <w:jc w:val="both"/>
            </w:pPr>
            <w:r>
              <w:rPr>
                <w:sz w:val="16"/>
                <w:szCs w:val="16"/>
              </w:rPr>
              <w:t>М.П.</w:t>
            </w: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  <w:p w:rsidR="0099331B" w:rsidRPr="00196DF1" w:rsidRDefault="0099331B" w:rsidP="00A30F1C">
            <w:pPr>
              <w:suppressAutoHyphens/>
              <w:spacing w:before="240" w:after="0"/>
              <w:ind w:left="34" w:right="-108"/>
              <w:jc w:val="both"/>
            </w:pPr>
          </w:p>
        </w:tc>
      </w:tr>
    </w:tbl>
    <w:p w:rsidR="00F53F8E" w:rsidRDefault="00F53F8E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</w:p>
    <w:p w:rsidR="00F53F8E" w:rsidRDefault="00F53F8E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</w:p>
    <w:p w:rsidR="00F53F8E" w:rsidRDefault="00F53F8E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</w:p>
    <w:p w:rsidR="00CE4783" w:rsidRDefault="00CE4783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A30F1C" w:rsidRPr="00A30F1C" w:rsidRDefault="00196DF1" w:rsidP="00A30F1C">
      <w:pPr>
        <w:ind w:firstLine="709"/>
        <w:jc w:val="right"/>
        <w:rPr>
          <w:rFonts w:eastAsia="Symbol"/>
        </w:rPr>
      </w:pPr>
      <w:r>
        <w:rPr>
          <w:rFonts w:eastAsia="Symbol"/>
        </w:rPr>
        <w:t xml:space="preserve">«___» ______________ 2026 </w:t>
      </w:r>
      <w:r w:rsidR="00A30F1C" w:rsidRPr="00A30F1C">
        <w:rPr>
          <w:rFonts w:eastAsia="Symbol"/>
        </w:rPr>
        <w:t xml:space="preserve">г. № </w:t>
      </w:r>
      <w:r w:rsidR="00A30F1C" w:rsidRPr="00A30F1C">
        <w:rPr>
          <w:rFonts w:eastAsia="Symbol"/>
          <w:b/>
        </w:rPr>
        <w:t>ЦЗИ-</w:t>
      </w:r>
      <w:r w:rsidR="00A30F1C" w:rsidRPr="00A30F1C">
        <w:rPr>
          <w:rFonts w:eastAsia="Symbol"/>
        </w:rPr>
        <w:t>__________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850"/>
        <w:gridCol w:w="714"/>
        <w:gridCol w:w="1129"/>
        <w:gridCol w:w="1423"/>
        <w:gridCol w:w="1134"/>
      </w:tblGrid>
      <w:tr w:rsidR="009B5003" w:rsidRPr="00A30F1C" w:rsidTr="00F95675">
        <w:trPr>
          <w:cantSplit/>
          <w:trHeight w:val="8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Единица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измере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Цена за единицу, (руб.)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03" w:rsidRPr="00A30F1C" w:rsidRDefault="009B5003" w:rsidP="00F956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В том числе НДС 22</w:t>
            </w:r>
            <w:r w:rsidRPr="00A30F1C"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Сумма, (руб.)</w:t>
            </w:r>
          </w:p>
        </w:tc>
      </w:tr>
      <w:tr w:rsidR="009B5003" w:rsidRPr="00A30F1C" w:rsidTr="00F95675">
        <w:trPr>
          <w:cantSplit/>
          <w:trHeight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3" w:rsidRPr="00A30F1C" w:rsidRDefault="009B5003" w:rsidP="00F9567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Передача права на использование ПО ViPNet Client for Windows 4.x (КС2)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11 860,00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НДС </w:t>
            </w:r>
          </w:p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не облагается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11 860,00</w:t>
            </w:r>
          </w:p>
        </w:tc>
      </w:tr>
      <w:tr w:rsidR="009B5003" w:rsidRPr="00A30F1C" w:rsidTr="00F95675">
        <w:trPr>
          <w:cantSplit/>
          <w:trHeight w:val="16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Организация защищённого канала связи между клиентом защищённой сети ViPNet и пограничным маршрутизатором распределенной мультисервисной сети связи и передачи данных органов исполнительной власти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D62590">
              <w:rPr>
                <w:sz w:val="22"/>
                <w:szCs w:val="22"/>
              </w:rPr>
              <w:t>5 124,00</w:t>
            </w:r>
          </w:p>
        </w:tc>
      </w:tr>
      <w:tr w:rsidR="009B5003" w:rsidRPr="00A30F1C" w:rsidTr="00F95675">
        <w:trPr>
          <w:cantSplit/>
          <w:trHeight w:val="62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3" w:rsidRPr="00A30F1C" w:rsidRDefault="009B5003" w:rsidP="00F9567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Предоставление дистрибутива ПО </w:t>
            </w:r>
            <w:r w:rsidRPr="00A30F1C">
              <w:rPr>
                <w:sz w:val="22"/>
                <w:szCs w:val="22"/>
                <w:lang w:val="en-US"/>
              </w:rPr>
              <w:t>ViPNet</w:t>
            </w:r>
            <w:r w:rsidRPr="00A30F1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Client</w:t>
            </w:r>
            <w:r w:rsidRPr="00A30F1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for</w:t>
            </w:r>
            <w:r w:rsidRPr="00A30F1C">
              <w:rPr>
                <w:sz w:val="22"/>
                <w:szCs w:val="22"/>
              </w:rPr>
              <w:t xml:space="preserve"> </w:t>
            </w:r>
            <w:r w:rsidRPr="00A30F1C">
              <w:rPr>
                <w:sz w:val="22"/>
                <w:szCs w:val="22"/>
                <w:lang w:val="en-US"/>
              </w:rPr>
              <w:t>Windows</w:t>
            </w:r>
            <w:r w:rsidRPr="00A30F1C">
              <w:rPr>
                <w:sz w:val="22"/>
                <w:szCs w:val="22"/>
              </w:rPr>
              <w:t xml:space="preserve"> 4.</w:t>
            </w:r>
            <w:r w:rsidRPr="00A30F1C">
              <w:rPr>
                <w:sz w:val="22"/>
                <w:szCs w:val="22"/>
                <w:lang w:val="en-US"/>
              </w:rPr>
              <w:t>x</w:t>
            </w:r>
            <w:r w:rsidRPr="00A30F1C">
              <w:rPr>
                <w:sz w:val="22"/>
                <w:szCs w:val="22"/>
              </w:rPr>
              <w:t xml:space="preserve"> (КС2)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03" w:rsidRPr="00A30F1C" w:rsidRDefault="007B02CF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248,8</w:t>
            </w:r>
            <w:r w:rsidR="009B5003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</w:tr>
      <w:tr w:rsidR="009B5003" w:rsidRPr="004F0E1D" w:rsidTr="00F95675">
        <w:trPr>
          <w:cantSplit/>
          <w:trHeight w:val="8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A30F1C" w:rsidRDefault="009B5003" w:rsidP="00F95675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003" w:rsidRPr="005314F2" w:rsidRDefault="009B5003" w:rsidP="00F95675">
            <w:pPr>
              <w:spacing w:after="0" w:line="240" w:lineRule="auto"/>
              <w:ind w:firstLine="3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Установка и настройка одного устройства защиты информации основных технических средств и систем:</w:t>
            </w:r>
          </w:p>
          <w:p w:rsidR="009B5003" w:rsidRPr="005314F2" w:rsidRDefault="009B5003" w:rsidP="00F95675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-программного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5314F2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нормо-час.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5314F2" w:rsidRDefault="009B5003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5314F2">
              <w:rPr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5314F2" w:rsidRDefault="00D106DC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9B5003" w:rsidRPr="005314F2">
              <w:rPr>
                <w:sz w:val="22"/>
                <w:szCs w:val="22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03" w:rsidRPr="005314F2" w:rsidRDefault="00D106DC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003" w:rsidRPr="005314F2" w:rsidRDefault="00D106DC" w:rsidP="00F9567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  <w:r w:rsidR="009B5003" w:rsidRPr="005314F2">
              <w:rPr>
                <w:sz w:val="22"/>
                <w:szCs w:val="22"/>
              </w:rPr>
              <w:t>0</w:t>
            </w:r>
          </w:p>
        </w:tc>
      </w:tr>
      <w:tr w:rsidR="009B5003" w:rsidRPr="00A30F1C" w:rsidTr="00F95675">
        <w:trPr>
          <w:cantSplit/>
          <w:trHeight w:val="209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003" w:rsidRPr="00684CF1" w:rsidRDefault="009B5003" w:rsidP="00F95675">
            <w:pPr>
              <w:spacing w:after="0" w:line="240" w:lineRule="auto"/>
              <w:ind w:left="-501" w:hanging="642"/>
              <w:jc w:val="right"/>
            </w:pPr>
            <w:r w:rsidRPr="00684CF1">
              <w:t>Итого</w:t>
            </w:r>
            <w:r w:rsidR="00D106DC">
              <w:rPr>
                <w:b/>
              </w:rPr>
              <w:t>: 22 114</w:t>
            </w:r>
            <w:r w:rsidRPr="00684CF1">
              <w:rPr>
                <w:b/>
              </w:rPr>
              <w:t>,00</w:t>
            </w:r>
            <w:r w:rsidRPr="00684CF1">
              <w:t xml:space="preserve"> руб.</w:t>
            </w:r>
          </w:p>
          <w:p w:rsidR="009B5003" w:rsidRPr="00A30F1C" w:rsidRDefault="009B5003" w:rsidP="00F95675">
            <w:pPr>
              <w:spacing w:after="0" w:line="240" w:lineRule="auto"/>
              <w:ind w:left="-501" w:hanging="642"/>
              <w:jc w:val="right"/>
              <w:rPr>
                <w:b/>
              </w:rPr>
            </w:pPr>
            <w:r w:rsidRPr="00684CF1">
              <w:rPr>
                <w:b/>
              </w:rPr>
              <w:t xml:space="preserve"> </w:t>
            </w:r>
            <w:r w:rsidRPr="00684CF1">
              <w:t xml:space="preserve"> (в том числе НДС 22%)</w:t>
            </w:r>
          </w:p>
        </w:tc>
      </w:tr>
    </w:tbl>
    <w:p w:rsidR="00CE4783" w:rsidRPr="00F565FF" w:rsidRDefault="00CE4783" w:rsidP="00AC4438">
      <w:pPr>
        <w:suppressAutoHyphens/>
        <w:spacing w:after="0"/>
        <w:jc w:val="both"/>
        <w:rPr>
          <w:sz w:val="16"/>
          <w:szCs w:val="16"/>
        </w:rPr>
      </w:pP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111"/>
        <w:gridCol w:w="5386"/>
      </w:tblGrid>
      <w:tr w:rsidR="001D2F59" w:rsidTr="00456E85">
        <w:trPr>
          <w:jc w:val="center"/>
        </w:trPr>
        <w:tc>
          <w:tcPr>
            <w:tcW w:w="4111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B9122B" w:rsidRDefault="00B9122B" w:rsidP="00B9122B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B9122B" w:rsidRDefault="00B9122B" w:rsidP="00B9122B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B9122B" w:rsidRDefault="00B9122B" w:rsidP="00B9122B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B9122B" w:rsidRDefault="00B9122B" w:rsidP="00B9122B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t>214018 г. Смоленск, ул. Тенишевой, д. 22, каб. 405</w:t>
            </w:r>
          </w:p>
          <w:p w:rsidR="00B9122B" w:rsidRDefault="009F555D" w:rsidP="00B9122B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22-13-23 доб. 2038/2039 </w:t>
            </w:r>
            <w:bookmarkStart w:id="0" w:name="_GoBack"/>
            <w:bookmarkEnd w:id="0"/>
            <w:r w:rsidR="00B9122B">
              <w:rPr>
                <w:b/>
                <w:sz w:val="22"/>
                <w:szCs w:val="22"/>
              </w:rPr>
              <w:t>uc@admin-smolensk.ru</w:t>
            </w:r>
            <w:r w:rsidR="00B9122B">
              <w:rPr>
                <w:b/>
              </w:rPr>
              <w:t xml:space="preserve"> ИНН</w:t>
            </w:r>
            <w:r w:rsidR="00B9122B">
              <w:t xml:space="preserve"> 6730071982 </w:t>
            </w:r>
            <w:r w:rsidR="00B9122B">
              <w:rPr>
                <w:b/>
              </w:rPr>
              <w:t>КПП</w:t>
            </w:r>
            <w:r w:rsidR="00B9122B">
              <w:t xml:space="preserve"> 673001001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B9122B" w:rsidRDefault="00B9122B" w:rsidP="00B9122B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B9122B" w:rsidRDefault="00B9122B" w:rsidP="00B9122B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D60556" w:rsidRDefault="00351F08" w:rsidP="00B9122B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351F08">
              <w:rPr>
                <w:b/>
              </w:rPr>
              <w:t xml:space="preserve">ОКЦ № 5 ГУ Банка России по ЦФО//УФК </w:t>
            </w:r>
          </w:p>
          <w:p w:rsidR="00B9122B" w:rsidRDefault="00351F08" w:rsidP="00B9122B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351F08">
              <w:rPr>
                <w:b/>
              </w:rPr>
              <w:t>по Смоленской области г. Смоленск</w:t>
            </w:r>
          </w:p>
          <w:p w:rsidR="00B9122B" w:rsidRDefault="00B9122B" w:rsidP="00B9122B">
            <w:pPr>
              <w:suppressAutoHyphens/>
              <w:spacing w:after="0" w:line="240" w:lineRule="auto"/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B9122B" w:rsidRDefault="00B9122B" w:rsidP="00B9122B">
            <w:pPr>
              <w:suppressAutoHyphens/>
              <w:spacing w:after="0" w:line="240" w:lineRule="auto"/>
              <w:rPr>
                <w:b/>
              </w:rPr>
            </w:pPr>
            <w:r>
              <w:rPr>
                <w:b/>
              </w:rPr>
              <w:t>Консультант – руководитель центра защиты информации</w:t>
            </w:r>
          </w:p>
          <w:p w:rsidR="00B9122B" w:rsidRDefault="00B9122B" w:rsidP="00B9122B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B9122B" w:rsidRDefault="00B9122B" w:rsidP="00B9122B">
            <w:pPr>
              <w:suppressAutoHyphens/>
              <w:spacing w:after="0"/>
              <w:ind w:left="34" w:right="-108"/>
              <w:jc w:val="both"/>
            </w:pPr>
            <w:r>
              <w:t xml:space="preserve">(По доверенности </w:t>
            </w:r>
            <w:r w:rsidR="00F53F8E">
              <w:t>№ 95 от 08.09.2025 г.</w:t>
            </w:r>
            <w:r>
              <w:t>)</w:t>
            </w:r>
          </w:p>
          <w:p w:rsidR="001D2F59" w:rsidRPr="00A30F1C" w:rsidRDefault="00B9122B" w:rsidP="00B9122B">
            <w:pPr>
              <w:suppressAutoHyphens/>
              <w:spacing w:after="0"/>
              <w:ind w:left="34" w:right="-108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</w:p>
        </w:tc>
      </w:tr>
    </w:tbl>
    <w:p w:rsidR="00AC4438" w:rsidRPr="00196DF1" w:rsidRDefault="00AC4438" w:rsidP="0099331B">
      <w:pPr>
        <w:suppressAutoHyphens/>
        <w:rPr>
          <w:sz w:val="16"/>
          <w:szCs w:val="16"/>
        </w:rPr>
      </w:pPr>
    </w:p>
    <w:sectPr w:rsidR="00AC4438" w:rsidRPr="00196DF1" w:rsidSect="00F223D9"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B77" w:rsidRDefault="00653B77">
      <w:pPr>
        <w:spacing w:after="0" w:line="240" w:lineRule="auto"/>
      </w:pPr>
      <w:r>
        <w:separator/>
      </w:r>
    </w:p>
  </w:endnote>
  <w:endnote w:type="continuationSeparator" w:id="0">
    <w:p w:rsidR="00653B77" w:rsidRDefault="0065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B77" w:rsidRDefault="00653B77">
      <w:pPr>
        <w:spacing w:after="0" w:line="240" w:lineRule="auto"/>
      </w:pPr>
      <w:r>
        <w:separator/>
      </w:r>
    </w:p>
  </w:footnote>
  <w:footnote w:type="continuationSeparator" w:id="0">
    <w:p w:rsidR="00653B77" w:rsidRDefault="00653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3379D"/>
    <w:rsid w:val="000378DD"/>
    <w:rsid w:val="00037EFE"/>
    <w:rsid w:val="0004363C"/>
    <w:rsid w:val="00045C26"/>
    <w:rsid w:val="00051712"/>
    <w:rsid w:val="0005287B"/>
    <w:rsid w:val="00080CF4"/>
    <w:rsid w:val="00081456"/>
    <w:rsid w:val="000960D0"/>
    <w:rsid w:val="000A0403"/>
    <w:rsid w:val="000A2E26"/>
    <w:rsid w:val="000C1600"/>
    <w:rsid w:val="000C21D2"/>
    <w:rsid w:val="000C475D"/>
    <w:rsid w:val="000C5175"/>
    <w:rsid w:val="000C67B4"/>
    <w:rsid w:val="000D2301"/>
    <w:rsid w:val="000D6F1A"/>
    <w:rsid w:val="000D7613"/>
    <w:rsid w:val="000E1E0A"/>
    <w:rsid w:val="000E7240"/>
    <w:rsid w:val="000E7F9A"/>
    <w:rsid w:val="00103050"/>
    <w:rsid w:val="0010384A"/>
    <w:rsid w:val="00111F22"/>
    <w:rsid w:val="00121E0C"/>
    <w:rsid w:val="00130F34"/>
    <w:rsid w:val="00133146"/>
    <w:rsid w:val="00135D58"/>
    <w:rsid w:val="00141403"/>
    <w:rsid w:val="0014299F"/>
    <w:rsid w:val="00142C91"/>
    <w:rsid w:val="00147EB1"/>
    <w:rsid w:val="001532B3"/>
    <w:rsid w:val="001573BC"/>
    <w:rsid w:val="00165AE6"/>
    <w:rsid w:val="00170193"/>
    <w:rsid w:val="001714BC"/>
    <w:rsid w:val="00174387"/>
    <w:rsid w:val="00177B73"/>
    <w:rsid w:val="00177FAA"/>
    <w:rsid w:val="00191ED3"/>
    <w:rsid w:val="00196DF1"/>
    <w:rsid w:val="001A2B30"/>
    <w:rsid w:val="001A68F7"/>
    <w:rsid w:val="001B3A86"/>
    <w:rsid w:val="001B3C28"/>
    <w:rsid w:val="001C4591"/>
    <w:rsid w:val="001C6ED3"/>
    <w:rsid w:val="001C75FE"/>
    <w:rsid w:val="001D1BE0"/>
    <w:rsid w:val="001D2F59"/>
    <w:rsid w:val="001D4A13"/>
    <w:rsid w:val="001E39F7"/>
    <w:rsid w:val="001E66EF"/>
    <w:rsid w:val="001F117B"/>
    <w:rsid w:val="002010BD"/>
    <w:rsid w:val="002023D0"/>
    <w:rsid w:val="00204880"/>
    <w:rsid w:val="002062FE"/>
    <w:rsid w:val="00213AD6"/>
    <w:rsid w:val="00221E2C"/>
    <w:rsid w:val="00225B76"/>
    <w:rsid w:val="002511EA"/>
    <w:rsid w:val="00254BD0"/>
    <w:rsid w:val="00256416"/>
    <w:rsid w:val="00261121"/>
    <w:rsid w:val="00292FD5"/>
    <w:rsid w:val="002B1167"/>
    <w:rsid w:val="002B4020"/>
    <w:rsid w:val="002B4A66"/>
    <w:rsid w:val="002B54CB"/>
    <w:rsid w:val="002C3E75"/>
    <w:rsid w:val="002D231A"/>
    <w:rsid w:val="002D337F"/>
    <w:rsid w:val="002D7791"/>
    <w:rsid w:val="002F0CFD"/>
    <w:rsid w:val="002F42E1"/>
    <w:rsid w:val="0030401D"/>
    <w:rsid w:val="003053FE"/>
    <w:rsid w:val="00307EEF"/>
    <w:rsid w:val="003101D8"/>
    <w:rsid w:val="00315B93"/>
    <w:rsid w:val="00327DFC"/>
    <w:rsid w:val="003322D3"/>
    <w:rsid w:val="00333154"/>
    <w:rsid w:val="00344189"/>
    <w:rsid w:val="003443EF"/>
    <w:rsid w:val="00345D99"/>
    <w:rsid w:val="003475E7"/>
    <w:rsid w:val="00351B41"/>
    <w:rsid w:val="00351F08"/>
    <w:rsid w:val="00353D11"/>
    <w:rsid w:val="003605C2"/>
    <w:rsid w:val="00371329"/>
    <w:rsid w:val="00377019"/>
    <w:rsid w:val="00382B95"/>
    <w:rsid w:val="00390A59"/>
    <w:rsid w:val="00397656"/>
    <w:rsid w:val="003A180F"/>
    <w:rsid w:val="003A6362"/>
    <w:rsid w:val="003B3852"/>
    <w:rsid w:val="003C2949"/>
    <w:rsid w:val="003C3C5A"/>
    <w:rsid w:val="003D48D0"/>
    <w:rsid w:val="003D5C58"/>
    <w:rsid w:val="003E2514"/>
    <w:rsid w:val="003E7A7A"/>
    <w:rsid w:val="003F0022"/>
    <w:rsid w:val="003F3716"/>
    <w:rsid w:val="004049EE"/>
    <w:rsid w:val="00410AD9"/>
    <w:rsid w:val="004116AD"/>
    <w:rsid w:val="00411DBC"/>
    <w:rsid w:val="00412A43"/>
    <w:rsid w:val="004202FF"/>
    <w:rsid w:val="004253C2"/>
    <w:rsid w:val="00444525"/>
    <w:rsid w:val="004475BA"/>
    <w:rsid w:val="0045325C"/>
    <w:rsid w:val="004535E3"/>
    <w:rsid w:val="00456470"/>
    <w:rsid w:val="00456E85"/>
    <w:rsid w:val="00460101"/>
    <w:rsid w:val="0048177A"/>
    <w:rsid w:val="004921D2"/>
    <w:rsid w:val="00495D53"/>
    <w:rsid w:val="004969F2"/>
    <w:rsid w:val="004A0DC5"/>
    <w:rsid w:val="004A1D8C"/>
    <w:rsid w:val="004A2318"/>
    <w:rsid w:val="004A3EBE"/>
    <w:rsid w:val="004B0E3C"/>
    <w:rsid w:val="004B3C69"/>
    <w:rsid w:val="004C1E02"/>
    <w:rsid w:val="004C354E"/>
    <w:rsid w:val="004C5E0E"/>
    <w:rsid w:val="004E13EE"/>
    <w:rsid w:val="004F6E8F"/>
    <w:rsid w:val="00502282"/>
    <w:rsid w:val="00503663"/>
    <w:rsid w:val="005071B2"/>
    <w:rsid w:val="005172CD"/>
    <w:rsid w:val="005364A9"/>
    <w:rsid w:val="00553999"/>
    <w:rsid w:val="005625C7"/>
    <w:rsid w:val="005841A7"/>
    <w:rsid w:val="00592BF4"/>
    <w:rsid w:val="005A488C"/>
    <w:rsid w:val="005B392F"/>
    <w:rsid w:val="005C1100"/>
    <w:rsid w:val="005C11E2"/>
    <w:rsid w:val="005C2712"/>
    <w:rsid w:val="005C37B9"/>
    <w:rsid w:val="005C51C3"/>
    <w:rsid w:val="005C659B"/>
    <w:rsid w:val="005C69C0"/>
    <w:rsid w:val="005D6DFF"/>
    <w:rsid w:val="005E0C16"/>
    <w:rsid w:val="005E1218"/>
    <w:rsid w:val="005F4655"/>
    <w:rsid w:val="005F535D"/>
    <w:rsid w:val="006019D2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3B77"/>
    <w:rsid w:val="006565D6"/>
    <w:rsid w:val="00656EA2"/>
    <w:rsid w:val="006652C6"/>
    <w:rsid w:val="006708F8"/>
    <w:rsid w:val="00672573"/>
    <w:rsid w:val="0067398D"/>
    <w:rsid w:val="00674B63"/>
    <w:rsid w:val="00675FD2"/>
    <w:rsid w:val="0068018C"/>
    <w:rsid w:val="00680228"/>
    <w:rsid w:val="00681068"/>
    <w:rsid w:val="006869D7"/>
    <w:rsid w:val="006979B7"/>
    <w:rsid w:val="006C6003"/>
    <w:rsid w:val="006C6634"/>
    <w:rsid w:val="006C68D8"/>
    <w:rsid w:val="006D2642"/>
    <w:rsid w:val="006D51E5"/>
    <w:rsid w:val="006E6007"/>
    <w:rsid w:val="006F1314"/>
    <w:rsid w:val="006F69FD"/>
    <w:rsid w:val="00700A77"/>
    <w:rsid w:val="00702FE4"/>
    <w:rsid w:val="00705D60"/>
    <w:rsid w:val="0070682E"/>
    <w:rsid w:val="00707892"/>
    <w:rsid w:val="00712722"/>
    <w:rsid w:val="0072163A"/>
    <w:rsid w:val="00724755"/>
    <w:rsid w:val="00726411"/>
    <w:rsid w:val="00731688"/>
    <w:rsid w:val="00732F95"/>
    <w:rsid w:val="007415A1"/>
    <w:rsid w:val="00742932"/>
    <w:rsid w:val="00766B51"/>
    <w:rsid w:val="0077230E"/>
    <w:rsid w:val="00774657"/>
    <w:rsid w:val="00774F84"/>
    <w:rsid w:val="00775093"/>
    <w:rsid w:val="00780954"/>
    <w:rsid w:val="007836BB"/>
    <w:rsid w:val="007858CB"/>
    <w:rsid w:val="00785D33"/>
    <w:rsid w:val="0079571D"/>
    <w:rsid w:val="00797B30"/>
    <w:rsid w:val="007A02C1"/>
    <w:rsid w:val="007A1B5E"/>
    <w:rsid w:val="007A3121"/>
    <w:rsid w:val="007A67CA"/>
    <w:rsid w:val="007B02CF"/>
    <w:rsid w:val="007B0639"/>
    <w:rsid w:val="007B23E5"/>
    <w:rsid w:val="007B5FE4"/>
    <w:rsid w:val="007B7FC3"/>
    <w:rsid w:val="007D001E"/>
    <w:rsid w:val="007D4E83"/>
    <w:rsid w:val="007D5BCA"/>
    <w:rsid w:val="007E535E"/>
    <w:rsid w:val="007E6644"/>
    <w:rsid w:val="007F1CEA"/>
    <w:rsid w:val="007F2FC7"/>
    <w:rsid w:val="00801E8D"/>
    <w:rsid w:val="00813E0F"/>
    <w:rsid w:val="00817C45"/>
    <w:rsid w:val="008214DE"/>
    <w:rsid w:val="0082290A"/>
    <w:rsid w:val="00823F57"/>
    <w:rsid w:val="00824167"/>
    <w:rsid w:val="00825094"/>
    <w:rsid w:val="008320AF"/>
    <w:rsid w:val="008324BD"/>
    <w:rsid w:val="00834467"/>
    <w:rsid w:val="008555D8"/>
    <w:rsid w:val="00855831"/>
    <w:rsid w:val="00856648"/>
    <w:rsid w:val="00862C7A"/>
    <w:rsid w:val="008940D0"/>
    <w:rsid w:val="008A210B"/>
    <w:rsid w:val="008B42E8"/>
    <w:rsid w:val="008C0A1B"/>
    <w:rsid w:val="008C0F88"/>
    <w:rsid w:val="008D5826"/>
    <w:rsid w:val="008E51B4"/>
    <w:rsid w:val="00904319"/>
    <w:rsid w:val="0090652A"/>
    <w:rsid w:val="00907B02"/>
    <w:rsid w:val="0092013A"/>
    <w:rsid w:val="009247D4"/>
    <w:rsid w:val="00946CF3"/>
    <w:rsid w:val="00950510"/>
    <w:rsid w:val="00950DA3"/>
    <w:rsid w:val="00954CD2"/>
    <w:rsid w:val="00956839"/>
    <w:rsid w:val="0096105C"/>
    <w:rsid w:val="009657C1"/>
    <w:rsid w:val="00967466"/>
    <w:rsid w:val="00970E89"/>
    <w:rsid w:val="00975CEF"/>
    <w:rsid w:val="00976AD2"/>
    <w:rsid w:val="00977FAB"/>
    <w:rsid w:val="00986C58"/>
    <w:rsid w:val="00990969"/>
    <w:rsid w:val="00990E77"/>
    <w:rsid w:val="00992882"/>
    <w:rsid w:val="0099331B"/>
    <w:rsid w:val="00993AB4"/>
    <w:rsid w:val="00993F30"/>
    <w:rsid w:val="0099696C"/>
    <w:rsid w:val="009A19BC"/>
    <w:rsid w:val="009B5003"/>
    <w:rsid w:val="009B7D51"/>
    <w:rsid w:val="009C718D"/>
    <w:rsid w:val="009C7EA8"/>
    <w:rsid w:val="009D17FB"/>
    <w:rsid w:val="009D4DB8"/>
    <w:rsid w:val="009D7BF0"/>
    <w:rsid w:val="009F24BE"/>
    <w:rsid w:val="009F555D"/>
    <w:rsid w:val="00A07802"/>
    <w:rsid w:val="00A10A95"/>
    <w:rsid w:val="00A13170"/>
    <w:rsid w:val="00A1563F"/>
    <w:rsid w:val="00A15F12"/>
    <w:rsid w:val="00A16E87"/>
    <w:rsid w:val="00A257FD"/>
    <w:rsid w:val="00A30F1C"/>
    <w:rsid w:val="00A37F6D"/>
    <w:rsid w:val="00A56350"/>
    <w:rsid w:val="00A65CD8"/>
    <w:rsid w:val="00A66069"/>
    <w:rsid w:val="00A7144C"/>
    <w:rsid w:val="00A74607"/>
    <w:rsid w:val="00A866B7"/>
    <w:rsid w:val="00A93FEE"/>
    <w:rsid w:val="00A9497E"/>
    <w:rsid w:val="00AA0FDC"/>
    <w:rsid w:val="00AA2584"/>
    <w:rsid w:val="00AA5657"/>
    <w:rsid w:val="00AB5E54"/>
    <w:rsid w:val="00AC044E"/>
    <w:rsid w:val="00AC4438"/>
    <w:rsid w:val="00AC698C"/>
    <w:rsid w:val="00AD0C2D"/>
    <w:rsid w:val="00AD17D6"/>
    <w:rsid w:val="00AD670D"/>
    <w:rsid w:val="00AE3DD5"/>
    <w:rsid w:val="00AE7FE6"/>
    <w:rsid w:val="00AF0EF1"/>
    <w:rsid w:val="00AF32C7"/>
    <w:rsid w:val="00AF4E29"/>
    <w:rsid w:val="00B0205E"/>
    <w:rsid w:val="00B05E98"/>
    <w:rsid w:val="00B11579"/>
    <w:rsid w:val="00B13A36"/>
    <w:rsid w:val="00B20088"/>
    <w:rsid w:val="00B32DC4"/>
    <w:rsid w:val="00B36A8D"/>
    <w:rsid w:val="00B41DD4"/>
    <w:rsid w:val="00B43D46"/>
    <w:rsid w:val="00B54474"/>
    <w:rsid w:val="00B6351A"/>
    <w:rsid w:val="00B65103"/>
    <w:rsid w:val="00B67876"/>
    <w:rsid w:val="00B67C96"/>
    <w:rsid w:val="00B715AF"/>
    <w:rsid w:val="00B82FBD"/>
    <w:rsid w:val="00B879B4"/>
    <w:rsid w:val="00B9122B"/>
    <w:rsid w:val="00B92ACA"/>
    <w:rsid w:val="00B963E0"/>
    <w:rsid w:val="00BA14C9"/>
    <w:rsid w:val="00BA3522"/>
    <w:rsid w:val="00BB3A93"/>
    <w:rsid w:val="00BC2650"/>
    <w:rsid w:val="00BD5002"/>
    <w:rsid w:val="00BE29CC"/>
    <w:rsid w:val="00BE324C"/>
    <w:rsid w:val="00BE6584"/>
    <w:rsid w:val="00BE7D9E"/>
    <w:rsid w:val="00BF3A7D"/>
    <w:rsid w:val="00C00EFE"/>
    <w:rsid w:val="00C05D8E"/>
    <w:rsid w:val="00C05EEC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47E21"/>
    <w:rsid w:val="00C5058F"/>
    <w:rsid w:val="00C72B18"/>
    <w:rsid w:val="00C83464"/>
    <w:rsid w:val="00C837FC"/>
    <w:rsid w:val="00C87ACF"/>
    <w:rsid w:val="00CA056C"/>
    <w:rsid w:val="00CA178B"/>
    <w:rsid w:val="00CB65DE"/>
    <w:rsid w:val="00CB6DC7"/>
    <w:rsid w:val="00CC474A"/>
    <w:rsid w:val="00CC4D77"/>
    <w:rsid w:val="00CC5582"/>
    <w:rsid w:val="00CC5A90"/>
    <w:rsid w:val="00CE44CD"/>
    <w:rsid w:val="00CE4783"/>
    <w:rsid w:val="00CF5F5A"/>
    <w:rsid w:val="00CF73AB"/>
    <w:rsid w:val="00D0117F"/>
    <w:rsid w:val="00D0238A"/>
    <w:rsid w:val="00D106DC"/>
    <w:rsid w:val="00D11034"/>
    <w:rsid w:val="00D11FF1"/>
    <w:rsid w:val="00D22DD8"/>
    <w:rsid w:val="00D230AE"/>
    <w:rsid w:val="00D26BD2"/>
    <w:rsid w:val="00D27BDA"/>
    <w:rsid w:val="00D3424C"/>
    <w:rsid w:val="00D4329E"/>
    <w:rsid w:val="00D439A5"/>
    <w:rsid w:val="00D45143"/>
    <w:rsid w:val="00D52F83"/>
    <w:rsid w:val="00D53068"/>
    <w:rsid w:val="00D54EAC"/>
    <w:rsid w:val="00D56962"/>
    <w:rsid w:val="00D57297"/>
    <w:rsid w:val="00D57F6C"/>
    <w:rsid w:val="00D60556"/>
    <w:rsid w:val="00D62F4E"/>
    <w:rsid w:val="00D7232B"/>
    <w:rsid w:val="00D866B6"/>
    <w:rsid w:val="00D908B0"/>
    <w:rsid w:val="00DA12A6"/>
    <w:rsid w:val="00DA40F8"/>
    <w:rsid w:val="00DA7109"/>
    <w:rsid w:val="00DB24B7"/>
    <w:rsid w:val="00DB6DBD"/>
    <w:rsid w:val="00DC1B29"/>
    <w:rsid w:val="00DC759F"/>
    <w:rsid w:val="00DE1B10"/>
    <w:rsid w:val="00DE58D1"/>
    <w:rsid w:val="00DF1733"/>
    <w:rsid w:val="00DF2CB9"/>
    <w:rsid w:val="00E02B71"/>
    <w:rsid w:val="00E0787F"/>
    <w:rsid w:val="00E117C0"/>
    <w:rsid w:val="00E15344"/>
    <w:rsid w:val="00E32FB6"/>
    <w:rsid w:val="00E336CE"/>
    <w:rsid w:val="00E343FD"/>
    <w:rsid w:val="00E3684F"/>
    <w:rsid w:val="00E41CBE"/>
    <w:rsid w:val="00E47335"/>
    <w:rsid w:val="00E5212B"/>
    <w:rsid w:val="00E573F7"/>
    <w:rsid w:val="00E61CC9"/>
    <w:rsid w:val="00E667E3"/>
    <w:rsid w:val="00E70337"/>
    <w:rsid w:val="00E75FF4"/>
    <w:rsid w:val="00E76E8F"/>
    <w:rsid w:val="00E77414"/>
    <w:rsid w:val="00E84D56"/>
    <w:rsid w:val="00E864A8"/>
    <w:rsid w:val="00E90C56"/>
    <w:rsid w:val="00E91BC6"/>
    <w:rsid w:val="00E960FB"/>
    <w:rsid w:val="00EA343F"/>
    <w:rsid w:val="00EB26D1"/>
    <w:rsid w:val="00EC41CD"/>
    <w:rsid w:val="00ED76E8"/>
    <w:rsid w:val="00EE48A5"/>
    <w:rsid w:val="00F025BC"/>
    <w:rsid w:val="00F02F86"/>
    <w:rsid w:val="00F04FB4"/>
    <w:rsid w:val="00F11B19"/>
    <w:rsid w:val="00F15B1A"/>
    <w:rsid w:val="00F223D9"/>
    <w:rsid w:val="00F262F8"/>
    <w:rsid w:val="00F26573"/>
    <w:rsid w:val="00F305EE"/>
    <w:rsid w:val="00F436C9"/>
    <w:rsid w:val="00F451EF"/>
    <w:rsid w:val="00F53F8E"/>
    <w:rsid w:val="00F565FF"/>
    <w:rsid w:val="00F6234A"/>
    <w:rsid w:val="00F666E0"/>
    <w:rsid w:val="00F8196D"/>
    <w:rsid w:val="00F928C6"/>
    <w:rsid w:val="00FA188B"/>
    <w:rsid w:val="00FA31D0"/>
    <w:rsid w:val="00FB0F95"/>
    <w:rsid w:val="00FC5AF0"/>
    <w:rsid w:val="00FC77B8"/>
    <w:rsid w:val="00FD0F4B"/>
    <w:rsid w:val="00FD0F6B"/>
    <w:rsid w:val="00FD5F92"/>
    <w:rsid w:val="00FD7C11"/>
    <w:rsid w:val="00FE0D3D"/>
    <w:rsid w:val="00FF3BDA"/>
    <w:rsid w:val="00FF451F"/>
    <w:rsid w:val="00FF4CD1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93FC7-0EDF-4A66-9D9C-E27C930D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0C7C0403E6CA1311EDD26DF731916DF959BC2742190A0A8E5963CF6A7EC5582C6F08BCA242D4E4F7P8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BA18E2-59DD-46E5-827C-5C9069F8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Шевченко Дарья Геннадиевна</cp:lastModifiedBy>
  <cp:revision>5</cp:revision>
  <cp:lastPrinted>2020-01-22T14:34:00Z</cp:lastPrinted>
  <dcterms:created xsi:type="dcterms:W3CDTF">2026-01-23T06:53:00Z</dcterms:created>
  <dcterms:modified xsi:type="dcterms:W3CDTF">2026-03-27T09:37:00Z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